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44"/>
          <w:szCs w:val="44"/>
        </w:rPr>
        <w:t>福建省通信工程优秀设计</w:t>
      </w:r>
      <w:r>
        <w:rPr>
          <w:rFonts w:ascii="仿宋_GB2312" w:hAnsi="仿宋_GB2312" w:eastAsia="仿宋_GB2312" w:cs="仿宋_GB2312"/>
          <w:sz w:val="44"/>
          <w:szCs w:val="44"/>
        </w:rPr>
        <w:t>/</w:t>
      </w:r>
      <w:r>
        <w:rPr>
          <w:rFonts w:hint="eastAsia" w:ascii="仿宋_GB2312" w:hAnsi="仿宋_GB2312" w:eastAsia="仿宋_GB2312" w:cs="仿宋_GB2312"/>
          <w:sz w:val="44"/>
          <w:szCs w:val="44"/>
        </w:rPr>
        <w:t>优质工程奖</w:t>
      </w:r>
    </w:p>
    <w:p>
      <w:pPr>
        <w:jc w:val="center"/>
        <w:rPr>
          <w:rFonts w:ascii="仿宋_GB2312" w:hAnsi="仿宋_GB2312" w:eastAsia="仿宋_GB2312" w:cs="Times New Roman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44"/>
          <w:szCs w:val="44"/>
        </w:rPr>
        <w:t>评选暂行办法</w:t>
      </w:r>
    </w:p>
    <w:p>
      <w:pPr>
        <w:rPr>
          <w:rFonts w:ascii="仿宋_GB2312" w:hAnsi="仿宋_GB2312" w:eastAsia="仿宋_GB2312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为进一步加强我省通信建设市场规范化管理，促进技术创新，提高设计水平和工程质量，有效发挥投资效益、鼓励设计施工企业创优质品牌和提升服务意识，特制定本办法。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textAlignment w:val="auto"/>
        <w:outlineLvl w:val="9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第一章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评选范围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凡列入国家投资计划，新建、扩建和技改项目的各类通信设计、施工工程，且符合相关规定的项目，均可申请参加评选。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参评通信设计、施工工程项目投资额须达</w:t>
      </w:r>
      <w:r>
        <w:rPr>
          <w:rFonts w:ascii="仿宋_GB2312" w:hAnsi="仿宋_GB2312" w:eastAsia="仿宋_GB2312" w:cs="仿宋_GB2312"/>
          <w:sz w:val="32"/>
          <w:szCs w:val="32"/>
        </w:rPr>
        <w:t>300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万元以上，技术创新项目不受投资额限制。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第三条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 w:cs="仿宋_GB2312"/>
          <w:sz w:val="32"/>
          <w:szCs w:val="32"/>
        </w:rPr>
        <w:t>符合国家工程建设的方针、政策，严格执行工程建设强制性标准。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第四条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 w:cs="仿宋_GB2312"/>
          <w:sz w:val="32"/>
          <w:szCs w:val="32"/>
        </w:rPr>
        <w:t>符合基本建设程序，各项手续完备。采用的工艺、主要设备和材料，技术先进、选型合理，各项技术、经济指标均达到国内、省内先进水平，并有新的突破。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ascii="仿宋_GB2312" w:hAnsi="??" w:eastAsia="仿宋_GB2312" w:cs="Times New Roman"/>
          <w:kern w:val="0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第五条 未发生过质量、安</w:t>
      </w:r>
      <w:r>
        <w:rPr>
          <w:rFonts w:hint="eastAsia" w:ascii="仿宋_GB2312" w:hAnsi="??" w:eastAsia="仿宋_GB2312" w:cs="仿宋_GB2312"/>
          <w:kern w:val="0"/>
          <w:sz w:val="32"/>
          <w:szCs w:val="32"/>
        </w:rPr>
        <w:t>全事故。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第六条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eastAsia="仿宋_GB2312" w:cs="仿宋_GB2312"/>
          <w:sz w:val="32"/>
          <w:szCs w:val="32"/>
        </w:rPr>
        <w:t>经过实践检验，能很好地满足建设、生产和使用的要求，经济效益和社会效益比已建成的同类型项目有明显提高。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第七条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至申报评选截止日期，竣工验收达到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年以上但未超过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年的通信建设工程。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以下工程项目不得参与评选：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无资质或超越施工企业资质等级施工的工程；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工程决算超过概预算</w:t>
      </w:r>
      <w:r>
        <w:rPr>
          <w:rFonts w:ascii="仿宋_GB2312" w:hAnsi="仿宋_GB2312" w:eastAsia="仿宋_GB2312" w:cs="仿宋_GB2312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sz w:val="32"/>
          <w:szCs w:val="32"/>
        </w:rPr>
        <w:t>或修正概预算</w:t>
      </w:r>
      <w:r>
        <w:rPr>
          <w:rFonts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</w:rPr>
        <w:t>的项目；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计划外项目，未形成生产能力的项目，对外经援项目；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涉及国家安全、机密、抢险救灾等特殊工程项目；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发生过重大安全、质量事故的工程项目；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ascii="仿宋_GB2312" w:hAnsi="仿宋_GB2312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奖励等级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第九条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省级通信工程优秀设计</w:t>
      </w:r>
      <w:r>
        <w:rPr>
          <w:rFonts w:ascii="仿宋_GB2312" w:hAnsi="仿宋_GB2312" w:eastAsia="仿宋_GB2312" w:cs="仿宋_GB2312"/>
          <w:sz w:val="32"/>
          <w:szCs w:val="32"/>
        </w:rPr>
        <w:t>/</w:t>
      </w:r>
      <w:r>
        <w:rPr>
          <w:rFonts w:hint="eastAsia" w:ascii="仿宋_GB2312" w:hAnsi="仿宋_GB2312" w:eastAsia="仿宋_GB2312" w:cs="仿宋_GB2312"/>
          <w:sz w:val="32"/>
          <w:szCs w:val="32"/>
        </w:rPr>
        <w:t>优质工程奖分为一等奖、二等奖、三等奖三种，根据申报项目的工程设计规模、施工质量、成本控制、工期考核及使用单位意见进行综合评定。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textAlignment w:val="auto"/>
        <w:outlineLvl w:val="9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</w:rPr>
        <w:t>一等奖：</w:t>
      </w:r>
      <w:r>
        <w:rPr>
          <w:rFonts w:ascii="仿宋_GB2312" w:eastAsia="仿宋_GB2312" w:cs="仿宋_GB2312"/>
          <w:kern w:val="0"/>
          <w:sz w:val="32"/>
          <w:szCs w:val="32"/>
        </w:rPr>
        <w:t xml:space="preserve"> 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投资额在</w:t>
      </w:r>
      <w:r>
        <w:rPr>
          <w:rFonts w:ascii="仿宋_GB2312" w:eastAsia="仿宋_GB2312" w:cs="仿宋_GB2312"/>
          <w:kern w:val="0"/>
          <w:sz w:val="32"/>
          <w:szCs w:val="32"/>
        </w:rPr>
        <w:t>800</w:t>
      </w:r>
      <w:r>
        <w:rPr>
          <w:rFonts w:hint="eastAsia" w:ascii="仿宋_GB2312" w:eastAsia="仿宋_GB2312" w:cs="仿宋_GB2312"/>
          <w:kern w:val="0"/>
          <w:sz w:val="32"/>
          <w:szCs w:val="32"/>
          <w:lang w:eastAsia="zh-CN"/>
        </w:rPr>
        <w:t>万元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以上的通信工程项目，工程设计、施工理念、科技含量达到或接近国内先进水平并在省内领先，经济和社会效益达到同期同类工程的最高水平，技术难度大，采用新技术、新工艺、新材料，对促进通信工程技术进步有重大作用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05" w:leftChars="50" w:firstLine="640" w:firstLineChars="200"/>
        <w:textAlignment w:val="auto"/>
        <w:outlineLvl w:val="9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</w:rPr>
        <w:t>二等奖：</w:t>
      </w:r>
      <w:r>
        <w:rPr>
          <w:rFonts w:ascii="仿宋_GB2312" w:eastAsia="仿宋_GB2312" w:cs="仿宋_GB2312"/>
          <w:kern w:val="0"/>
          <w:sz w:val="32"/>
          <w:szCs w:val="32"/>
        </w:rPr>
        <w:t xml:space="preserve"> 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投资额在</w:t>
      </w:r>
      <w:r>
        <w:rPr>
          <w:rFonts w:ascii="仿宋_GB2312" w:eastAsia="仿宋_GB2312" w:cs="仿宋_GB2312"/>
          <w:kern w:val="0"/>
          <w:sz w:val="32"/>
          <w:szCs w:val="32"/>
        </w:rPr>
        <w:t>500</w:t>
      </w:r>
      <w:r>
        <w:rPr>
          <w:rFonts w:hint="eastAsia" w:ascii="仿宋_GB2312" w:eastAsia="仿宋_GB2312" w:cs="仿宋_GB2312"/>
          <w:kern w:val="0"/>
          <w:sz w:val="32"/>
          <w:szCs w:val="32"/>
          <w:lang w:eastAsia="zh-CN"/>
        </w:rPr>
        <w:t>万元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以上的通信工程项目，工程设计、施工理念、科技含量达到省内先进水平，经济和社会效益达到同期同类工程的较高水平，技术难度较大，采用新技术、新工艺、新材料，对促进通信工程技术进步有很大作用。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78" w:leftChars="85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三等奖：</w:t>
      </w:r>
      <w:r>
        <w:rPr>
          <w:rFonts w:ascii="仿宋_GB2312" w:eastAsia="仿宋_GB2312" w:cs="仿宋_GB2312"/>
          <w:kern w:val="0"/>
          <w:sz w:val="32"/>
          <w:szCs w:val="32"/>
        </w:rPr>
        <w:t xml:space="preserve"> 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投资额在</w:t>
      </w:r>
      <w:r>
        <w:rPr>
          <w:rFonts w:ascii="仿宋_GB2312" w:eastAsia="仿宋_GB2312" w:cs="仿宋_GB2312"/>
          <w:kern w:val="0"/>
          <w:sz w:val="32"/>
          <w:szCs w:val="32"/>
        </w:rPr>
        <w:t>300</w:t>
      </w:r>
      <w:r>
        <w:rPr>
          <w:rFonts w:hint="eastAsia" w:ascii="仿宋_GB2312" w:eastAsia="仿宋_GB2312" w:cs="仿宋_GB2312"/>
          <w:kern w:val="0"/>
          <w:sz w:val="32"/>
          <w:szCs w:val="32"/>
          <w:lang w:eastAsia="zh-CN"/>
        </w:rPr>
        <w:t>万元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以上的通信工程项目，工程设计、施工理念、科技含量达到省内同期同类专业较先进水平，技术有创新，</w:t>
      </w:r>
      <w:r>
        <w:rPr>
          <w:rFonts w:hint="eastAsia" w:ascii="仿宋_GB2312" w:eastAsia="仿宋_GB2312" w:cs="仿宋_GB2312"/>
          <w:sz w:val="32"/>
          <w:szCs w:val="32"/>
        </w:rPr>
        <w:t>取得一定的经济和社会效益，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对促进通信工程技术进步有一定作用。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78" w:leftChars="85" w:firstLine="640" w:firstLineChars="200"/>
        <w:textAlignment w:val="auto"/>
        <w:outlineLvl w:val="9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第十条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申报省级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通信</w:t>
      </w:r>
      <w:r>
        <w:rPr>
          <w:rFonts w:hint="eastAsia" w:ascii="仿宋_GB2312" w:hAnsi="仿宋_GB2312" w:eastAsia="仿宋_GB2312" w:cs="仿宋_GB2312"/>
          <w:sz w:val="32"/>
          <w:szCs w:val="32"/>
        </w:rPr>
        <w:t>工程优秀设计</w:t>
      </w:r>
      <w:r>
        <w:rPr>
          <w:rFonts w:ascii="仿宋_GB2312" w:hAnsi="仿宋_GB2312" w:eastAsia="仿宋_GB2312" w:cs="仿宋_GB2312"/>
          <w:sz w:val="32"/>
          <w:szCs w:val="32"/>
        </w:rPr>
        <w:t>/</w:t>
      </w:r>
      <w:r>
        <w:rPr>
          <w:rFonts w:hint="eastAsia" w:ascii="仿宋_GB2312" w:hAnsi="仿宋_GB2312" w:eastAsia="仿宋_GB2312" w:cs="仿宋_GB2312"/>
          <w:sz w:val="32"/>
          <w:szCs w:val="32"/>
        </w:rPr>
        <w:t>优质工程奖的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工程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项目只能申报一次。除评审委员会在进行评选时认为有疑问，提出缓评而保留资格参加下届评选的工程外，不得重复申报。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第十一条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获得省级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通信</w:t>
      </w:r>
      <w:r>
        <w:rPr>
          <w:rFonts w:hint="eastAsia" w:ascii="仿宋_GB2312" w:hAnsi="仿宋_GB2312" w:eastAsia="仿宋_GB2312" w:cs="仿宋_GB2312"/>
          <w:sz w:val="32"/>
          <w:szCs w:val="32"/>
        </w:rPr>
        <w:t>工程优秀设计</w:t>
      </w:r>
      <w:r>
        <w:rPr>
          <w:rFonts w:ascii="仿宋_GB2312" w:hAnsi="仿宋_GB2312" w:eastAsia="仿宋_GB2312" w:cs="仿宋_GB2312"/>
          <w:sz w:val="32"/>
          <w:szCs w:val="32"/>
        </w:rPr>
        <w:t>/</w:t>
      </w:r>
      <w:r>
        <w:rPr>
          <w:rFonts w:hint="eastAsia" w:ascii="仿宋_GB2312" w:hAnsi="仿宋_GB2312" w:eastAsia="仿宋_GB2312" w:cs="仿宋_GB2312"/>
          <w:sz w:val="32"/>
          <w:szCs w:val="32"/>
        </w:rPr>
        <w:t>优质工程一等奖且投资额达到</w:t>
      </w:r>
      <w:r>
        <w:rPr>
          <w:rFonts w:ascii="仿宋_GB2312" w:hAnsi="仿宋_GB2312" w:eastAsia="仿宋_GB2312" w:cs="仿宋_GB2312"/>
          <w:sz w:val="32"/>
          <w:szCs w:val="32"/>
        </w:rPr>
        <w:t>1200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万元以上的项目，将推荐参加部级优秀设计</w:t>
      </w:r>
      <w:r>
        <w:rPr>
          <w:rFonts w:ascii="仿宋_GB2312" w:hAnsi="仿宋_GB2312" w:eastAsia="仿宋_GB2312" w:cs="仿宋_GB2312"/>
          <w:sz w:val="32"/>
          <w:szCs w:val="32"/>
        </w:rPr>
        <w:t>/</w:t>
      </w:r>
      <w:r>
        <w:rPr>
          <w:rFonts w:hint="eastAsia" w:ascii="仿宋_GB2312" w:hAnsi="仿宋_GB2312" w:eastAsia="仿宋_GB2312" w:cs="仿宋_GB2312"/>
          <w:sz w:val="32"/>
          <w:szCs w:val="32"/>
        </w:rPr>
        <w:t>优质工程奖评选。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textAlignment w:val="auto"/>
        <w:outlineLvl w:val="9"/>
        <w:rPr>
          <w:rFonts w:ascii="仿宋_GB2312" w:hAnsi="仿宋_GB2312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第三章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评选办法和步骤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hint="eastAsia" w:ascii="仿宋_GB2312" w:hAnsi="仿宋_GB2312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第十二条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通信工程优秀设计</w:t>
      </w:r>
      <w:r>
        <w:rPr>
          <w:rFonts w:ascii="仿宋_GB2312" w:hAnsi="仿宋_GB2312" w:eastAsia="仿宋_GB2312" w:cs="仿宋_GB2312"/>
          <w:sz w:val="32"/>
          <w:szCs w:val="32"/>
        </w:rPr>
        <w:t>/</w:t>
      </w:r>
      <w:r>
        <w:rPr>
          <w:rFonts w:hint="eastAsia" w:ascii="仿宋_GB2312" w:hAnsi="仿宋_GB2312" w:eastAsia="仿宋_GB2312" w:cs="仿宋_GB2312"/>
          <w:sz w:val="32"/>
          <w:szCs w:val="32"/>
        </w:rPr>
        <w:t>优质工程奖由设计、施工单位提出申请</w:t>
      </w:r>
      <w:r>
        <w:rPr>
          <w:rFonts w:ascii="仿宋_GB2312" w:hAnsi="仿宋_GB2312" w:eastAsia="仿宋_GB2312" w:cs="仿宋_GB2312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sz w:val="32"/>
          <w:szCs w:val="32"/>
        </w:rPr>
        <w:t>跨省、地际工程和综合性工程由工程总承包企业提出申请</w:t>
      </w:r>
      <w:r>
        <w:rPr>
          <w:rFonts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第十三条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福建省通信学会、福建省信息通信行业协会受理申报材料，对项目履行国家基本建设程序情况，施工企业依法管理，按章办事的情况进行初审。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第十四条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福建省通信学会、福建省信息通信行业协会对初审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合格的项目组织专家组进行评选，评审专家有权对被评项目提出质询，有权要求对参评项目进行现场核查，参评项目代表人必须如实进行说明，对评选结果提出具体的评奖建议。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第十五条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评审委员会对专家组提出的建议进行评审，评审结果发文公布。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textAlignment w:val="auto"/>
        <w:outlineLvl w:val="9"/>
        <w:rPr>
          <w:rFonts w:ascii="仿宋_GB2312" w:hAnsi="仿宋_GB2312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第四章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评选时间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第十六条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省级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通信</w:t>
      </w:r>
      <w:r>
        <w:rPr>
          <w:rFonts w:hint="eastAsia" w:ascii="仿宋_GB2312" w:hAnsi="仿宋_GB2312" w:eastAsia="仿宋_GB2312" w:cs="仿宋_GB2312"/>
          <w:sz w:val="32"/>
          <w:szCs w:val="32"/>
        </w:rPr>
        <w:t>工程优秀设计</w:t>
      </w:r>
      <w:r>
        <w:rPr>
          <w:rFonts w:ascii="仿宋_GB2312" w:hAnsi="仿宋_GB2312" w:eastAsia="仿宋_GB2312" w:cs="仿宋_GB2312"/>
          <w:sz w:val="32"/>
          <w:szCs w:val="32"/>
        </w:rPr>
        <w:t>/</w:t>
      </w:r>
      <w:r>
        <w:rPr>
          <w:rFonts w:hint="eastAsia" w:ascii="仿宋_GB2312" w:hAnsi="仿宋_GB2312" w:eastAsia="仿宋_GB2312" w:cs="仿宋_GB2312"/>
          <w:sz w:val="32"/>
          <w:szCs w:val="32"/>
        </w:rPr>
        <w:t>优质工程奖评选工作每年进行一次。各单位的申报材料，于每年</w:t>
      </w:r>
      <w:r>
        <w:rPr>
          <w:rFonts w:ascii="仿宋_GB2312" w:hAnsi="仿宋_GB2312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前</w:t>
      </w:r>
      <w:r>
        <w:rPr>
          <w:rFonts w:hint="eastAsia" w:ascii="仿宋_GB2312" w:hAnsi="仿宋_GB2312" w:eastAsia="仿宋_GB2312" w:cs="仿宋_GB2312"/>
          <w:sz w:val="32"/>
          <w:szCs w:val="32"/>
        </w:rPr>
        <w:t>报福建省通信学会、福建省信息通信行业协会。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textAlignment w:val="auto"/>
        <w:outlineLvl w:val="9"/>
        <w:rPr>
          <w:rFonts w:ascii="仿宋_GB2312" w:hAnsi="仿宋_GB2312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第五章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申报材料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第十七条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申报通信工程优秀设计</w:t>
      </w:r>
      <w:r>
        <w:rPr>
          <w:rFonts w:ascii="仿宋_GB2312" w:hAnsi="仿宋_GB2312" w:eastAsia="仿宋_GB2312" w:cs="仿宋_GB2312"/>
          <w:sz w:val="32"/>
          <w:szCs w:val="32"/>
        </w:rPr>
        <w:t>/</w:t>
      </w:r>
      <w:r>
        <w:rPr>
          <w:rFonts w:hint="eastAsia" w:ascii="仿宋_GB2312" w:hAnsi="仿宋_GB2312" w:eastAsia="仿宋_GB2312" w:cs="仿宋_GB2312"/>
          <w:sz w:val="32"/>
          <w:szCs w:val="32"/>
        </w:rPr>
        <w:t>优质工程奖的单位应按填表说明认真填写申请表和项目汇总表，要求文字精炼、重点突出，手续完备。报福建省通信学会、福建省信息通信行业协会（包括：“申请表”一式</w:t>
      </w: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份、项目汇总表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份、设计文本及竣工材料一套，电子版申报表及项目汇总表一份）。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textAlignment w:val="auto"/>
        <w:outlineLvl w:val="9"/>
        <w:rPr>
          <w:rFonts w:ascii="仿宋_GB2312" w:hAnsi="仿宋_GB2312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第六章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奖励和处罚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第十八条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获得省级通信工程优秀设计</w:t>
      </w:r>
      <w:r>
        <w:rPr>
          <w:rFonts w:ascii="仿宋_GB2312" w:hAnsi="仿宋_GB2312" w:eastAsia="仿宋_GB2312" w:cs="仿宋_GB2312"/>
          <w:sz w:val="32"/>
          <w:szCs w:val="32"/>
        </w:rPr>
        <w:t>/</w:t>
      </w:r>
      <w:r>
        <w:rPr>
          <w:rFonts w:hint="eastAsia" w:ascii="仿宋_GB2312" w:hAnsi="仿宋_GB2312" w:eastAsia="仿宋_GB2312" w:cs="仿宋_GB2312"/>
          <w:sz w:val="32"/>
          <w:szCs w:val="32"/>
        </w:rPr>
        <w:t>优质工程奖由福建省通信学会、福建省信息通信行业协会授予荣誉证书和牌匾，并发文全行业通报表彰。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第十九条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各设计、施工建设单位可根据获得优秀通信工程设计、优质工程奖的参与人员的贡献，给予物资奖励。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第二十条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申报、评选通信工程优秀设计</w:t>
      </w:r>
      <w:r>
        <w:rPr>
          <w:rFonts w:ascii="仿宋_GB2312" w:hAnsi="仿宋_GB2312" w:eastAsia="仿宋_GB2312" w:cs="仿宋_GB2312"/>
          <w:sz w:val="32"/>
          <w:szCs w:val="32"/>
        </w:rPr>
        <w:t>/</w:t>
      </w:r>
      <w:r>
        <w:rPr>
          <w:rFonts w:hint="eastAsia" w:ascii="仿宋_GB2312" w:hAnsi="仿宋_GB2312" w:eastAsia="仿宋_GB2312" w:cs="仿宋_GB2312"/>
          <w:sz w:val="32"/>
          <w:szCs w:val="32"/>
        </w:rPr>
        <w:t>优质工程奖，必须实事求是，严肃认真，不得弄虚作假。授奖后如发现与获奖条件不符，要降低奖励等级，直至撤销奖励，给予通报批评和经济处罚。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第七章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其它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640" w:firstLineChars="200"/>
        <w:textAlignment w:val="auto"/>
        <w:outlineLvl w:val="9"/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第二十一条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本办法自颁发之日起施行，由福建省通信学会、福建省信息通信行业协会负责解释。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E25BA"/>
    <w:multiLevelType w:val="multilevel"/>
    <w:tmpl w:val="301E25BA"/>
    <w:lvl w:ilvl="0" w:tentative="0">
      <w:start w:val="2"/>
      <w:numFmt w:val="japaneseCounting"/>
      <w:lvlText w:val="第%1章"/>
      <w:lvlJc w:val="left"/>
      <w:pPr>
        <w:tabs>
          <w:tab w:val="left" w:pos="1710"/>
        </w:tabs>
        <w:ind w:left="171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 w:tentative="0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1">
    <w:nsid w:val="331E3536"/>
    <w:multiLevelType w:val="multilevel"/>
    <w:tmpl w:val="331E3536"/>
    <w:lvl w:ilvl="0" w:tentative="0">
      <w:start w:val="8"/>
      <w:numFmt w:val="japaneseCounting"/>
      <w:lvlText w:val="第%1条"/>
      <w:lvlJc w:val="left"/>
      <w:pPr>
        <w:tabs>
          <w:tab w:val="left" w:pos="1720"/>
        </w:tabs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480"/>
        </w:tabs>
        <w:ind w:left="148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900"/>
        </w:tabs>
        <w:ind w:left="1900" w:hanging="420"/>
      </w:pPr>
    </w:lvl>
    <w:lvl w:ilvl="3" w:tentative="0">
      <w:start w:val="1"/>
      <w:numFmt w:val="decimal"/>
      <w:lvlText w:val="%4."/>
      <w:lvlJc w:val="left"/>
      <w:pPr>
        <w:tabs>
          <w:tab w:val="left" w:pos="2320"/>
        </w:tabs>
        <w:ind w:left="232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740"/>
        </w:tabs>
        <w:ind w:left="274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160"/>
        </w:tabs>
        <w:ind w:left="316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80"/>
        </w:tabs>
        <w:ind w:left="358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000"/>
        </w:tabs>
        <w:ind w:left="400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420"/>
        </w:tabs>
        <w:ind w:left="4420" w:hanging="420"/>
      </w:pPr>
    </w:lvl>
  </w:abstractNum>
  <w:abstractNum w:abstractNumId="2">
    <w:nsid w:val="5959F089"/>
    <w:multiLevelType w:val="singleLevel"/>
    <w:tmpl w:val="5959F089"/>
    <w:lvl w:ilvl="0" w:tentative="0">
      <w:start w:val="1"/>
      <w:numFmt w:val="chineseCounting"/>
      <w:suff w:val="space"/>
      <w:lvlText w:val="第%1条"/>
      <w:lvlJc w:val="left"/>
    </w:lvl>
  </w:abstractNum>
  <w:abstractNum w:abstractNumId="3">
    <w:nsid w:val="5959F0C8"/>
    <w:multiLevelType w:val="singleLevel"/>
    <w:tmpl w:val="5959F0C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BF95D83"/>
    <w:rsid w:val="00003088"/>
    <w:rsid w:val="0000741D"/>
    <w:rsid w:val="0002578F"/>
    <w:rsid w:val="00052C3C"/>
    <w:rsid w:val="00056C16"/>
    <w:rsid w:val="00075BFA"/>
    <w:rsid w:val="00083463"/>
    <w:rsid w:val="000D4792"/>
    <w:rsid w:val="001001E3"/>
    <w:rsid w:val="00107ABC"/>
    <w:rsid w:val="00110A87"/>
    <w:rsid w:val="0011295E"/>
    <w:rsid w:val="0012105F"/>
    <w:rsid w:val="00216C50"/>
    <w:rsid w:val="0024318D"/>
    <w:rsid w:val="002603ED"/>
    <w:rsid w:val="002626FE"/>
    <w:rsid w:val="002765A4"/>
    <w:rsid w:val="00282367"/>
    <w:rsid w:val="002A6F90"/>
    <w:rsid w:val="002F44E4"/>
    <w:rsid w:val="0030278D"/>
    <w:rsid w:val="0034339D"/>
    <w:rsid w:val="00384179"/>
    <w:rsid w:val="00392443"/>
    <w:rsid w:val="003B6C2D"/>
    <w:rsid w:val="003F39BD"/>
    <w:rsid w:val="003F717D"/>
    <w:rsid w:val="004256A5"/>
    <w:rsid w:val="00456692"/>
    <w:rsid w:val="00490BF6"/>
    <w:rsid w:val="004F29D3"/>
    <w:rsid w:val="004F3C7A"/>
    <w:rsid w:val="004F7D0A"/>
    <w:rsid w:val="00525308"/>
    <w:rsid w:val="00546571"/>
    <w:rsid w:val="00574FA5"/>
    <w:rsid w:val="005967FB"/>
    <w:rsid w:val="005A0ADA"/>
    <w:rsid w:val="005E2E46"/>
    <w:rsid w:val="006133A1"/>
    <w:rsid w:val="00624887"/>
    <w:rsid w:val="006346E1"/>
    <w:rsid w:val="006527A1"/>
    <w:rsid w:val="00654EA9"/>
    <w:rsid w:val="00655950"/>
    <w:rsid w:val="00656B27"/>
    <w:rsid w:val="006624B6"/>
    <w:rsid w:val="006C1C44"/>
    <w:rsid w:val="006C3B04"/>
    <w:rsid w:val="006C5C9B"/>
    <w:rsid w:val="006F5588"/>
    <w:rsid w:val="0072518D"/>
    <w:rsid w:val="00760F4B"/>
    <w:rsid w:val="00761EE2"/>
    <w:rsid w:val="00771073"/>
    <w:rsid w:val="007D2AEF"/>
    <w:rsid w:val="007E0FA9"/>
    <w:rsid w:val="007E5418"/>
    <w:rsid w:val="007E565C"/>
    <w:rsid w:val="0080420F"/>
    <w:rsid w:val="0083015D"/>
    <w:rsid w:val="00845C3A"/>
    <w:rsid w:val="00876994"/>
    <w:rsid w:val="008D04B7"/>
    <w:rsid w:val="008E6800"/>
    <w:rsid w:val="008F6291"/>
    <w:rsid w:val="00912A6C"/>
    <w:rsid w:val="00920D00"/>
    <w:rsid w:val="00926D08"/>
    <w:rsid w:val="00943BEA"/>
    <w:rsid w:val="009528C9"/>
    <w:rsid w:val="009B1F2A"/>
    <w:rsid w:val="009C09B5"/>
    <w:rsid w:val="00A14626"/>
    <w:rsid w:val="00A426F1"/>
    <w:rsid w:val="00A500E3"/>
    <w:rsid w:val="00AC6B0A"/>
    <w:rsid w:val="00AD4EA1"/>
    <w:rsid w:val="00B322A9"/>
    <w:rsid w:val="00B51974"/>
    <w:rsid w:val="00B56A63"/>
    <w:rsid w:val="00B770BF"/>
    <w:rsid w:val="00B90D02"/>
    <w:rsid w:val="00BA393A"/>
    <w:rsid w:val="00BB168B"/>
    <w:rsid w:val="00BB4311"/>
    <w:rsid w:val="00BD0AF9"/>
    <w:rsid w:val="00BE20D7"/>
    <w:rsid w:val="00BF552F"/>
    <w:rsid w:val="00C0027B"/>
    <w:rsid w:val="00C3032D"/>
    <w:rsid w:val="00C71911"/>
    <w:rsid w:val="00C81A96"/>
    <w:rsid w:val="00C87FF1"/>
    <w:rsid w:val="00CB15CE"/>
    <w:rsid w:val="00CC5E98"/>
    <w:rsid w:val="00CD68B0"/>
    <w:rsid w:val="00CE51DD"/>
    <w:rsid w:val="00CF668B"/>
    <w:rsid w:val="00D7270D"/>
    <w:rsid w:val="00DF157E"/>
    <w:rsid w:val="00E14887"/>
    <w:rsid w:val="00E26BB3"/>
    <w:rsid w:val="00E60448"/>
    <w:rsid w:val="00E81BFF"/>
    <w:rsid w:val="00EA249D"/>
    <w:rsid w:val="00EA6797"/>
    <w:rsid w:val="00EB47BD"/>
    <w:rsid w:val="00EC3658"/>
    <w:rsid w:val="00ED220D"/>
    <w:rsid w:val="00ED7E4D"/>
    <w:rsid w:val="00F0229B"/>
    <w:rsid w:val="00F31001"/>
    <w:rsid w:val="00F46E11"/>
    <w:rsid w:val="00F62774"/>
    <w:rsid w:val="00F726FF"/>
    <w:rsid w:val="00F755CE"/>
    <w:rsid w:val="00F75F77"/>
    <w:rsid w:val="00FC41C1"/>
    <w:rsid w:val="00FF3856"/>
    <w:rsid w:val="0618453D"/>
    <w:rsid w:val="0ACC52CD"/>
    <w:rsid w:val="0EDE3F3C"/>
    <w:rsid w:val="14E56F87"/>
    <w:rsid w:val="36E0746C"/>
    <w:rsid w:val="3AAC02FD"/>
    <w:rsid w:val="3BF95D83"/>
    <w:rsid w:val="48295EC1"/>
    <w:rsid w:val="488400D8"/>
    <w:rsid w:val="4DD11402"/>
    <w:rsid w:val="700D6FC1"/>
    <w:rsid w:val="782153D3"/>
    <w:rsid w:val="7A015B53"/>
    <w:rsid w:val="7B38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uiPriority w:val="99"/>
    <w:pPr>
      <w:spacing w:after="120"/>
      <w:ind w:left="420" w:leftChars="200"/>
    </w:pPr>
    <w:rPr>
      <w:rFonts w:ascii="Times New Roman" w:hAnsi="Times New Roman" w:cs="Times New Roman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Header Char"/>
    <w:basedOn w:val="5"/>
    <w:link w:val="4"/>
    <w:locked/>
    <w:uiPriority w:val="99"/>
    <w:rPr>
      <w:kern w:val="2"/>
      <w:sz w:val="18"/>
      <w:szCs w:val="18"/>
    </w:rPr>
  </w:style>
  <w:style w:type="character" w:customStyle="1" w:styleId="8">
    <w:name w:val="Footer Char"/>
    <w:basedOn w:val="5"/>
    <w:link w:val="3"/>
    <w:qFormat/>
    <w:locked/>
    <w:uiPriority w:val="99"/>
    <w:rPr>
      <w:kern w:val="2"/>
      <w:sz w:val="18"/>
      <w:szCs w:val="18"/>
    </w:rPr>
  </w:style>
  <w:style w:type="character" w:customStyle="1" w:styleId="9">
    <w:name w:val="Body Text Indent Char"/>
    <w:basedOn w:val="5"/>
    <w:link w:val="2"/>
    <w:semiHidden/>
    <w:locked/>
    <w:uiPriority w:val="99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5</Pages>
  <Words>290</Words>
  <Characters>1658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2018-07-23T06:59:00Z</dcterms:created>
  <dc:creator>chens</dc:creator>
  <cp:lastModifiedBy>梦儿</cp:lastModifiedBy>
  <dcterms:modified xsi:type="dcterms:W3CDTF">2018-07-25T08:12:44Z</dcterms:modified>
  <dc:title>关于印发《福建省优质通信工程施工奖评选规定》的通知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